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9A" w:rsidRDefault="002D0D4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6349A" w:rsidRDefault="002F0517">
      <w:pPr>
        <w:spacing w:afterLines="50" w:after="156" w:line="56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  <w:lang w:bidi="en-US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  <w:lang w:bidi="en-US"/>
        </w:rPr>
        <w:t>江苏旅游职业</w:t>
      </w:r>
      <w:r>
        <w:rPr>
          <w:rFonts w:ascii="方正小标宋简体" w:eastAsia="方正小标宋简体" w:hAnsi="Times New Roman"/>
          <w:kern w:val="0"/>
          <w:sz w:val="44"/>
          <w:szCs w:val="44"/>
          <w:lang w:bidi="en-US"/>
        </w:rPr>
        <w:t>学院</w:t>
      </w:r>
      <w:r w:rsidR="002D0D47">
        <w:rPr>
          <w:rFonts w:ascii="方正小标宋简体" w:eastAsia="方正小标宋简体" w:hAnsi="Times New Roman" w:hint="eastAsia"/>
          <w:kern w:val="0"/>
          <w:sz w:val="44"/>
          <w:szCs w:val="44"/>
          <w:lang w:bidi="en-US"/>
        </w:rPr>
        <w:t>202</w:t>
      </w:r>
      <w:r w:rsidR="002D0D47">
        <w:rPr>
          <w:rFonts w:ascii="方正小标宋简体" w:eastAsia="方正小标宋简体" w:hAnsi="Times New Roman"/>
          <w:kern w:val="0"/>
          <w:sz w:val="44"/>
          <w:szCs w:val="44"/>
          <w:lang w:bidi="en-US"/>
        </w:rPr>
        <w:t>3</w:t>
      </w:r>
      <w:r w:rsidR="002D0D47">
        <w:rPr>
          <w:rFonts w:ascii="方正小标宋简体" w:eastAsia="方正小标宋简体" w:hAnsi="Times New Roman" w:hint="eastAsia"/>
          <w:kern w:val="0"/>
          <w:sz w:val="44"/>
          <w:szCs w:val="44"/>
          <w:lang w:bidi="en-US"/>
        </w:rPr>
        <w:t>年辅导员素质能力提升计划表</w:t>
      </w:r>
    </w:p>
    <w:tbl>
      <w:tblPr>
        <w:tblStyle w:val="a8"/>
        <w:tblW w:w="14425" w:type="dxa"/>
        <w:tblLook w:val="04A0" w:firstRow="1" w:lastRow="0" w:firstColumn="1" w:lastColumn="0" w:noHBand="0" w:noVBand="1"/>
      </w:tblPr>
      <w:tblGrid>
        <w:gridCol w:w="1951"/>
        <w:gridCol w:w="5812"/>
        <w:gridCol w:w="2362"/>
        <w:gridCol w:w="1323"/>
        <w:gridCol w:w="1701"/>
        <w:gridCol w:w="1276"/>
      </w:tblGrid>
      <w:tr w:rsidR="00B67216" w:rsidTr="00B67216">
        <w:tc>
          <w:tcPr>
            <w:tcW w:w="1951" w:type="dxa"/>
          </w:tcPr>
          <w:p w:rsidR="00B67216" w:rsidRPr="00B67216" w:rsidRDefault="00B67216" w:rsidP="00805292">
            <w:pPr>
              <w:spacing w:line="36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B67216">
              <w:rPr>
                <w:rFonts w:ascii="黑体" w:eastAsia="黑体" w:hAnsi="黑体" w:cs="仿宋_GB2312" w:hint="eastAsia"/>
                <w:sz w:val="32"/>
                <w:szCs w:val="32"/>
              </w:rPr>
              <w:t>培训模块</w:t>
            </w:r>
          </w:p>
        </w:tc>
        <w:tc>
          <w:tcPr>
            <w:tcW w:w="5812" w:type="dxa"/>
          </w:tcPr>
          <w:p w:rsidR="00B67216" w:rsidRPr="00B67216" w:rsidRDefault="00B67216" w:rsidP="00805292">
            <w:pPr>
              <w:spacing w:line="36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B67216">
              <w:rPr>
                <w:rFonts w:ascii="黑体" w:eastAsia="黑体" w:hAnsi="黑体" w:cs="仿宋_GB2312" w:hint="eastAsia"/>
                <w:sz w:val="32"/>
                <w:szCs w:val="32"/>
              </w:rPr>
              <w:t>学习内容</w:t>
            </w:r>
          </w:p>
        </w:tc>
        <w:tc>
          <w:tcPr>
            <w:tcW w:w="2362" w:type="dxa"/>
          </w:tcPr>
          <w:p w:rsidR="00B67216" w:rsidRPr="00B67216" w:rsidRDefault="00B67216" w:rsidP="00805292">
            <w:pPr>
              <w:spacing w:line="36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B67216">
              <w:rPr>
                <w:rFonts w:ascii="黑体" w:eastAsia="黑体" w:hAnsi="黑体" w:cs="仿宋_GB2312" w:hint="eastAsia"/>
                <w:sz w:val="32"/>
                <w:szCs w:val="32"/>
              </w:rPr>
              <w:t>学习方式</w:t>
            </w:r>
          </w:p>
        </w:tc>
        <w:tc>
          <w:tcPr>
            <w:tcW w:w="1323" w:type="dxa"/>
          </w:tcPr>
          <w:p w:rsidR="00B67216" w:rsidRPr="00B67216" w:rsidRDefault="00B67216" w:rsidP="00805292">
            <w:pPr>
              <w:spacing w:line="36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B67216">
              <w:rPr>
                <w:rFonts w:ascii="黑体" w:eastAsia="黑体" w:hAnsi="黑体" w:cs="仿宋_GB2312" w:hint="eastAsia"/>
                <w:sz w:val="32"/>
                <w:szCs w:val="32"/>
              </w:rPr>
              <w:t>学时</w:t>
            </w:r>
          </w:p>
        </w:tc>
        <w:tc>
          <w:tcPr>
            <w:tcW w:w="1701" w:type="dxa"/>
          </w:tcPr>
          <w:p w:rsidR="00B67216" w:rsidRPr="00B67216" w:rsidRDefault="00B67216" w:rsidP="00805292">
            <w:pPr>
              <w:spacing w:line="36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B67216">
              <w:rPr>
                <w:rFonts w:ascii="黑体" w:eastAsia="黑体" w:hAnsi="黑体" w:cs="仿宋_GB2312" w:hint="eastAsia"/>
                <w:sz w:val="32"/>
                <w:szCs w:val="32"/>
              </w:rPr>
              <w:t>责任部门</w:t>
            </w:r>
          </w:p>
        </w:tc>
        <w:tc>
          <w:tcPr>
            <w:tcW w:w="1276" w:type="dxa"/>
          </w:tcPr>
          <w:p w:rsidR="00B67216" w:rsidRPr="00B67216" w:rsidRDefault="00B67216" w:rsidP="00805292">
            <w:pPr>
              <w:spacing w:line="360" w:lineRule="auto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B67216">
              <w:rPr>
                <w:rFonts w:ascii="黑体" w:eastAsia="黑体" w:hAnsi="黑体" w:cs="仿宋_GB2312" w:hint="eastAsia"/>
                <w:sz w:val="32"/>
                <w:szCs w:val="32"/>
              </w:rPr>
              <w:t>备注</w:t>
            </w:r>
          </w:p>
        </w:tc>
      </w:tr>
      <w:tr w:rsidR="00B67216" w:rsidTr="00A855CA">
        <w:trPr>
          <w:trHeight w:val="693"/>
        </w:trPr>
        <w:tc>
          <w:tcPr>
            <w:tcW w:w="1951" w:type="dxa"/>
            <w:vMerge w:val="restart"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理论学习</w:t>
            </w:r>
          </w:p>
        </w:tc>
        <w:tc>
          <w:tcPr>
            <w:tcW w:w="5812" w:type="dxa"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习近平新时代中国特色社会主义思想主题教育</w:t>
            </w:r>
          </w:p>
        </w:tc>
        <w:tc>
          <w:tcPr>
            <w:tcW w:w="2362" w:type="dxa"/>
            <w:vMerge w:val="restart"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集中学习</w:t>
            </w:r>
          </w:p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自学</w:t>
            </w:r>
          </w:p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交流研讨</w:t>
            </w:r>
          </w:p>
        </w:tc>
        <w:tc>
          <w:tcPr>
            <w:tcW w:w="1323" w:type="dxa"/>
            <w:vMerge w:val="restart"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2</w:t>
            </w:r>
            <w:r w:rsidRPr="00805292">
              <w:rPr>
                <w:rFonts w:asciiTheme="minorEastAsia" w:hAnsiTheme="minorEastAsia" w:cs="仿宋_GB2312"/>
                <w:sz w:val="24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学生工作处</w:t>
            </w:r>
          </w:p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各二级学院</w:t>
            </w:r>
          </w:p>
        </w:tc>
        <w:tc>
          <w:tcPr>
            <w:tcW w:w="1276" w:type="dxa"/>
            <w:vMerge w:val="restart"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撰写心得体会</w:t>
            </w:r>
          </w:p>
        </w:tc>
      </w:tr>
      <w:tr w:rsidR="00B67216" w:rsidTr="00B67216">
        <w:tc>
          <w:tcPr>
            <w:tcW w:w="1951" w:type="dxa"/>
            <w:vMerge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"/>
                <w:sz w:val="24"/>
              </w:rPr>
              <w:t>学习宣传贯彻党的二十大精神</w:t>
            </w:r>
          </w:p>
        </w:tc>
        <w:tc>
          <w:tcPr>
            <w:tcW w:w="2362" w:type="dxa"/>
            <w:vMerge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B67216" w:rsidTr="00B67216">
        <w:tc>
          <w:tcPr>
            <w:tcW w:w="1951" w:type="dxa"/>
            <w:vMerge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</w:rPr>
            </w:pPr>
            <w:r w:rsidRPr="00805292">
              <w:rPr>
                <w:rFonts w:asciiTheme="minorEastAsia" w:hAnsiTheme="minorEastAsia" w:cs="仿宋" w:hint="eastAsia"/>
                <w:sz w:val="24"/>
              </w:rPr>
              <w:t>思想政治工作领域重要讲话、文件</w:t>
            </w:r>
          </w:p>
        </w:tc>
        <w:tc>
          <w:tcPr>
            <w:tcW w:w="2362" w:type="dxa"/>
            <w:vMerge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67216" w:rsidRPr="00805292" w:rsidRDefault="00B67216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805292">
        <w:tc>
          <w:tcPr>
            <w:tcW w:w="1951" w:type="dxa"/>
            <w:vMerge w:val="restart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业务提升</w:t>
            </w:r>
          </w:p>
        </w:tc>
        <w:tc>
          <w:tcPr>
            <w:tcW w:w="5812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 w:rsidRPr="00805292">
              <w:rPr>
                <w:rFonts w:asciiTheme="minorEastAsia" w:hAnsiTheme="minorEastAsia" w:cs="仿宋" w:hint="eastAsia"/>
                <w:sz w:val="24"/>
              </w:rPr>
              <w:t>江苏省新任专职辅导员岗前培训</w:t>
            </w:r>
          </w:p>
        </w:tc>
        <w:tc>
          <w:tcPr>
            <w:tcW w:w="2362" w:type="dxa"/>
            <w:vMerge w:val="restart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根据上级</w:t>
            </w:r>
          </w:p>
          <w:p w:rsidR="00A52101" w:rsidRPr="00805292" w:rsidRDefault="00A52101" w:rsidP="00805292">
            <w:pPr>
              <w:pStyle w:val="1"/>
              <w:spacing w:line="360" w:lineRule="auto"/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有关通知</w:t>
            </w:r>
          </w:p>
        </w:tc>
        <w:tc>
          <w:tcPr>
            <w:tcW w:w="1323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-</w:t>
            </w:r>
            <w:r w:rsidRPr="00805292">
              <w:rPr>
                <w:rFonts w:asciiTheme="minorEastAsia" w:hAnsiTheme="minorEastAsia" w:cs="仿宋_GB2312"/>
                <w:sz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</w:rPr>
            </w:pPr>
            <w:r w:rsidRPr="00805292">
              <w:rPr>
                <w:rFonts w:asciiTheme="minorEastAsia" w:hAnsiTheme="minorEastAsia" w:cs="仿宋" w:hint="eastAsia"/>
                <w:sz w:val="24"/>
              </w:rPr>
              <w:t>省教育厅</w:t>
            </w:r>
          </w:p>
          <w:p w:rsidR="00A52101" w:rsidRPr="00805292" w:rsidRDefault="00A52101" w:rsidP="00805292">
            <w:pPr>
              <w:pStyle w:val="1"/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 w:rsidRPr="00805292">
              <w:rPr>
                <w:rFonts w:asciiTheme="minorEastAsia" w:hAnsiTheme="minorEastAsia" w:cs="仿宋" w:hint="eastAsia"/>
                <w:sz w:val="24"/>
              </w:rPr>
              <w:t>学生工作处</w:t>
            </w:r>
          </w:p>
        </w:tc>
        <w:tc>
          <w:tcPr>
            <w:tcW w:w="1276" w:type="dxa"/>
            <w:vMerge w:val="restart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根据上级</w:t>
            </w:r>
          </w:p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有关通知</w:t>
            </w: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</w:rPr>
            </w:pPr>
            <w:r w:rsidRPr="00805292">
              <w:rPr>
                <w:rFonts w:asciiTheme="minorEastAsia" w:hAnsiTheme="minorEastAsia" w:cs="仿宋" w:hint="eastAsia"/>
                <w:sz w:val="24"/>
              </w:rPr>
              <w:t>省级辅导员专题培训（网络培训等）</w:t>
            </w:r>
          </w:p>
        </w:tc>
        <w:tc>
          <w:tcPr>
            <w:tcW w:w="2362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805292">
              <w:rPr>
                <w:rFonts w:asciiTheme="minorEastAsia" w:hAnsiTheme="minorEastAsia" w:cs="仿宋_GB2312" w:hint="eastAsia"/>
                <w:sz w:val="24"/>
              </w:rPr>
              <w:t>-</w:t>
            </w:r>
            <w:r w:rsidRPr="00805292">
              <w:rPr>
                <w:rFonts w:asciiTheme="minorEastAsia" w:hAnsiTheme="minorEastAsia" w:cs="仿宋_GB2312"/>
                <w:sz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“</w:t>
            </w:r>
            <w:r>
              <w:rPr>
                <w:rFonts w:asciiTheme="minorEastAsia" w:hAnsiTheme="minorEastAsia" w:cs="仿宋" w:hint="eastAsia"/>
                <w:sz w:val="24"/>
              </w:rPr>
              <w:t>一站式</w:t>
            </w:r>
            <w:r>
              <w:rPr>
                <w:rFonts w:asciiTheme="minorEastAsia" w:hAnsiTheme="minorEastAsia" w:cs="仿宋" w:hint="eastAsia"/>
                <w:sz w:val="24"/>
              </w:rPr>
              <w:t>”学生社区体系的构建与实践</w:t>
            </w:r>
          </w:p>
        </w:tc>
        <w:tc>
          <w:tcPr>
            <w:tcW w:w="2362" w:type="dxa"/>
            <w:vMerge w:val="restart"/>
            <w:vAlign w:val="center"/>
          </w:tcPr>
          <w:p w:rsidR="00A52101" w:rsidRPr="005568F8" w:rsidRDefault="00A52101" w:rsidP="005568F8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</w:rPr>
            </w:pPr>
            <w:r w:rsidRPr="005568F8">
              <w:rPr>
                <w:rFonts w:asciiTheme="minorEastAsia" w:hAnsiTheme="minorEastAsia" w:cs="仿宋" w:hint="eastAsia"/>
                <w:sz w:val="24"/>
              </w:rPr>
              <w:t>集中学习</w:t>
            </w:r>
          </w:p>
          <w:p w:rsidR="00A52101" w:rsidRPr="005568F8" w:rsidRDefault="00A52101" w:rsidP="005568F8">
            <w:pPr>
              <w:pStyle w:val="1"/>
              <w:jc w:val="center"/>
              <w:rPr>
                <w:rFonts w:asciiTheme="minorEastAsia" w:hAnsiTheme="minorEastAsia" w:cs="仿宋"/>
                <w:sz w:val="24"/>
              </w:rPr>
            </w:pPr>
            <w:r w:rsidRPr="005568F8">
              <w:rPr>
                <w:rFonts w:asciiTheme="minorEastAsia" w:hAnsiTheme="minorEastAsia" w:cs="仿宋" w:hint="eastAsia"/>
                <w:sz w:val="24"/>
              </w:rPr>
              <w:t>+</w:t>
            </w:r>
          </w:p>
          <w:p w:rsidR="00A52101" w:rsidRPr="005568F8" w:rsidRDefault="00A52101" w:rsidP="005568F8">
            <w:pPr>
              <w:jc w:val="center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沙龙研讨</w:t>
            </w:r>
          </w:p>
        </w:tc>
        <w:tc>
          <w:tcPr>
            <w:tcW w:w="1323" w:type="dxa"/>
            <w:vMerge w:val="restart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1</w:t>
            </w:r>
            <w:r>
              <w:rPr>
                <w:rFonts w:asciiTheme="minorEastAsia" w:hAnsiTheme="minorEastAsia" w:cs="仿宋_GB2312"/>
                <w:sz w:val="24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A52101" w:rsidRPr="00A52101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A52101">
              <w:rPr>
                <w:rFonts w:asciiTheme="minorEastAsia" w:hAnsiTheme="minorEastAsia" w:cs="仿宋_GB2312" w:hint="eastAsia"/>
                <w:sz w:val="24"/>
              </w:rPr>
              <w:t>学生工作处</w:t>
            </w:r>
          </w:p>
          <w:p w:rsidR="00A52101" w:rsidRPr="00A52101" w:rsidRDefault="00A52101" w:rsidP="00A52101">
            <w:pPr>
              <w:pStyle w:val="1"/>
              <w:jc w:val="center"/>
              <w:rPr>
                <w:rFonts w:hint="eastAsia"/>
              </w:rPr>
            </w:pPr>
            <w:r w:rsidRPr="00A52101">
              <w:rPr>
                <w:rFonts w:hint="eastAsia"/>
                <w:sz w:val="24"/>
              </w:rPr>
              <w:t>各二级学院（部）</w:t>
            </w:r>
          </w:p>
        </w:tc>
        <w:tc>
          <w:tcPr>
            <w:tcW w:w="1276" w:type="dxa"/>
            <w:vMerge w:val="restart"/>
            <w:vAlign w:val="center"/>
          </w:tcPr>
          <w:p w:rsidR="00A52101" w:rsidRPr="00A52101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 w:rsidRPr="00A52101">
              <w:rPr>
                <w:rFonts w:asciiTheme="minorEastAsia" w:hAnsiTheme="minorEastAsia" w:cs="仿宋" w:hint="eastAsia"/>
                <w:sz w:val="24"/>
              </w:rPr>
              <w:t>专题发言</w:t>
            </w:r>
          </w:p>
          <w:p w:rsidR="00A52101" w:rsidRPr="00A52101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</w:rPr>
            </w:pPr>
            <w:r w:rsidRPr="00A52101">
              <w:rPr>
                <w:rFonts w:asciiTheme="minorEastAsia" w:hAnsiTheme="minorEastAsia" w:cs="仿宋"/>
                <w:sz w:val="24"/>
              </w:rPr>
              <w:t>+</w:t>
            </w:r>
          </w:p>
          <w:p w:rsidR="00A52101" w:rsidRPr="00A52101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 w:rsidRPr="00A52101">
              <w:rPr>
                <w:rFonts w:asciiTheme="minorEastAsia" w:hAnsiTheme="minorEastAsia" w:cs="仿宋" w:hint="eastAsia"/>
                <w:sz w:val="24"/>
              </w:rPr>
              <w:t>参与讨论</w:t>
            </w:r>
          </w:p>
          <w:p w:rsidR="00A52101" w:rsidRPr="00A52101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</w:rPr>
            </w:pPr>
            <w:r w:rsidRPr="00A52101">
              <w:rPr>
                <w:rFonts w:asciiTheme="minorEastAsia" w:hAnsiTheme="minorEastAsia" w:cs="仿宋"/>
                <w:sz w:val="24"/>
              </w:rPr>
              <w:t>+</w:t>
            </w:r>
          </w:p>
          <w:p w:rsidR="00A52101" w:rsidRPr="00A52101" w:rsidRDefault="00A52101" w:rsidP="00A52101">
            <w:pPr>
              <w:pStyle w:val="1"/>
              <w:rPr>
                <w:rFonts w:asciiTheme="minorEastAsia" w:hAnsiTheme="minorEastAsia" w:cs="仿宋" w:hint="eastAsia"/>
                <w:sz w:val="24"/>
              </w:rPr>
            </w:pPr>
            <w:r w:rsidRPr="00A52101">
              <w:rPr>
                <w:rFonts w:asciiTheme="minorEastAsia" w:hAnsiTheme="minorEastAsia" w:cs="仿宋" w:hint="eastAsia"/>
                <w:sz w:val="24"/>
              </w:rPr>
              <w:t>专家点评</w:t>
            </w: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"/>
                <w:sz w:val="24"/>
              </w:rPr>
            </w:pPr>
            <w:r w:rsidRPr="00805292">
              <w:rPr>
                <w:rFonts w:asciiTheme="minorEastAsia" w:hAnsiTheme="minorEastAsia" w:cs="仿宋" w:hint="eastAsia"/>
                <w:sz w:val="24"/>
              </w:rPr>
              <w:t>学生心理危机干预策略</w:t>
            </w:r>
          </w:p>
        </w:tc>
        <w:tc>
          <w:tcPr>
            <w:tcW w:w="2362" w:type="dxa"/>
            <w:vMerge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 w:rsidRPr="00C257E6">
              <w:rPr>
                <w:rFonts w:asciiTheme="minorEastAsia" w:hAnsiTheme="minorEastAsia" w:cs="仿宋" w:hint="eastAsia"/>
                <w:sz w:val="24"/>
              </w:rPr>
              <w:t>网络舆情预防处置与安全防范</w:t>
            </w:r>
          </w:p>
        </w:tc>
        <w:tc>
          <w:tcPr>
            <w:tcW w:w="2362" w:type="dxa"/>
            <w:vMerge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52101" w:rsidRPr="00805292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Pr="00805292" w:rsidRDefault="00A52101" w:rsidP="005568F8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有效开展资助育人工作</w:t>
            </w:r>
          </w:p>
        </w:tc>
        <w:tc>
          <w:tcPr>
            <w:tcW w:w="2362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Default="00A52101" w:rsidP="005568F8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学生职业生涯规划与就业指导</w:t>
            </w:r>
          </w:p>
        </w:tc>
        <w:tc>
          <w:tcPr>
            <w:tcW w:w="2362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Default="00A52101" w:rsidP="005568F8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校园文化活动的组织与策划</w:t>
            </w:r>
          </w:p>
        </w:tc>
        <w:tc>
          <w:tcPr>
            <w:tcW w:w="2362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Default="00A52101" w:rsidP="005568F8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“优秀辅导员”事迹分项</w:t>
            </w:r>
          </w:p>
        </w:tc>
        <w:tc>
          <w:tcPr>
            <w:tcW w:w="2362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805292">
        <w:tc>
          <w:tcPr>
            <w:tcW w:w="1951" w:type="dxa"/>
            <w:vMerge w:val="restart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 w:hint="eastAsia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综合素质拓展</w:t>
            </w:r>
          </w:p>
        </w:tc>
        <w:tc>
          <w:tcPr>
            <w:tcW w:w="5812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辅导员基本理论知识提高+测试</w:t>
            </w:r>
          </w:p>
        </w:tc>
        <w:tc>
          <w:tcPr>
            <w:tcW w:w="2362" w:type="dxa"/>
            <w:vMerge w:val="restart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竞赛</w:t>
            </w:r>
          </w:p>
        </w:tc>
        <w:tc>
          <w:tcPr>
            <w:tcW w:w="1323" w:type="dxa"/>
            <w:vMerge w:val="restart"/>
            <w:vAlign w:val="center"/>
          </w:tcPr>
          <w:p w:rsidR="00A52101" w:rsidRPr="00A52101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A52101">
              <w:rPr>
                <w:rFonts w:asciiTheme="minorEastAsia" w:hAnsiTheme="minorEastAsia" w:cs="仿宋_GB2312" w:hint="eastAsia"/>
                <w:sz w:val="24"/>
              </w:rPr>
              <w:t>1</w:t>
            </w:r>
            <w:r w:rsidRPr="00A52101">
              <w:rPr>
                <w:rFonts w:asciiTheme="minorEastAsia" w:hAnsiTheme="minorEastAsia" w:cs="仿宋_GB2312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A52101" w:rsidRPr="00A52101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A52101">
              <w:rPr>
                <w:rFonts w:asciiTheme="minorEastAsia" w:hAnsiTheme="minorEastAsia" w:cs="仿宋_GB2312" w:hint="eastAsia"/>
                <w:sz w:val="24"/>
              </w:rPr>
              <w:t>学生工作处</w:t>
            </w:r>
          </w:p>
          <w:p w:rsidR="00A52101" w:rsidRPr="00A52101" w:rsidRDefault="00A52101" w:rsidP="00A52101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A52101">
              <w:rPr>
                <w:rFonts w:hint="eastAsia"/>
                <w:sz w:val="24"/>
              </w:rPr>
              <w:t>各二级学院（部）</w:t>
            </w:r>
          </w:p>
        </w:tc>
        <w:tc>
          <w:tcPr>
            <w:tcW w:w="1276" w:type="dxa"/>
            <w:vMerge w:val="restart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全员参与</w:t>
            </w: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模拟情景案例分析</w:t>
            </w:r>
          </w:p>
        </w:tc>
        <w:tc>
          <w:tcPr>
            <w:tcW w:w="2362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A52101" w:rsidRPr="00A52101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2101" w:rsidRPr="00A52101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辅导员谈心谈话专项</w:t>
            </w:r>
          </w:p>
        </w:tc>
        <w:tc>
          <w:tcPr>
            <w:tcW w:w="2362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323" w:type="dxa"/>
            <w:vMerge/>
            <w:vAlign w:val="center"/>
          </w:tcPr>
          <w:p w:rsidR="00A52101" w:rsidRPr="00A52101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2101" w:rsidRPr="00A52101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外出参观交流</w:t>
            </w:r>
          </w:p>
        </w:tc>
        <w:tc>
          <w:tcPr>
            <w:tcW w:w="2362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参观学习</w:t>
            </w:r>
          </w:p>
        </w:tc>
        <w:tc>
          <w:tcPr>
            <w:tcW w:w="1323" w:type="dxa"/>
            <w:vAlign w:val="center"/>
          </w:tcPr>
          <w:p w:rsidR="00A52101" w:rsidRPr="00A52101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A52101">
              <w:rPr>
                <w:rFonts w:asciiTheme="minorEastAsia" w:hAnsiTheme="minorEastAsia" w:cs="仿宋_GB2312" w:hint="eastAsia"/>
                <w:sz w:val="24"/>
              </w:rPr>
              <w:t>2</w:t>
            </w:r>
            <w:r w:rsidRPr="00A52101">
              <w:rPr>
                <w:rFonts w:asciiTheme="minorEastAsia" w:hAnsiTheme="minorEastAsia" w:cs="仿宋_GB2312"/>
                <w:sz w:val="24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A52101" w:rsidRPr="00A52101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805292">
        <w:tc>
          <w:tcPr>
            <w:tcW w:w="1951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5812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" w:hint="eastAsia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辅导员团队素质训练</w:t>
            </w:r>
          </w:p>
        </w:tc>
        <w:tc>
          <w:tcPr>
            <w:tcW w:w="2362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户外拓展</w:t>
            </w:r>
          </w:p>
        </w:tc>
        <w:tc>
          <w:tcPr>
            <w:tcW w:w="1323" w:type="dxa"/>
            <w:vAlign w:val="center"/>
          </w:tcPr>
          <w:p w:rsidR="00A52101" w:rsidRPr="00A52101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 w:rsidRPr="00A52101">
              <w:rPr>
                <w:rFonts w:asciiTheme="minorEastAsia" w:hAnsiTheme="minorEastAsia" w:cs="仿宋_GB2312" w:hint="eastAsia"/>
                <w:sz w:val="24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A52101" w:rsidRPr="00A52101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</w:p>
        </w:tc>
      </w:tr>
      <w:tr w:rsidR="00A52101" w:rsidTr="001D524D">
        <w:tc>
          <w:tcPr>
            <w:tcW w:w="1951" w:type="dxa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作业</w:t>
            </w:r>
          </w:p>
        </w:tc>
        <w:tc>
          <w:tcPr>
            <w:tcW w:w="12474" w:type="dxa"/>
            <w:gridSpan w:val="5"/>
            <w:vAlign w:val="center"/>
          </w:tcPr>
          <w:p w:rsidR="00A52101" w:rsidRPr="00805292" w:rsidRDefault="00A52101" w:rsidP="00805292">
            <w:pPr>
              <w:spacing w:line="360" w:lineRule="auto"/>
              <w:jc w:val="center"/>
              <w:rPr>
                <w:rFonts w:asciiTheme="minorEastAsia" w:hAnsiTheme="minorEastAsia" w:cs="仿宋_GB2312"/>
                <w:sz w:val="24"/>
              </w:rPr>
            </w:pPr>
            <w:r>
              <w:rPr>
                <w:rFonts w:asciiTheme="minorEastAsia" w:hAnsiTheme="minorEastAsia" w:cs="仿宋_GB2312" w:hint="eastAsia"/>
                <w:sz w:val="24"/>
              </w:rPr>
              <w:t>除培训项目备注的要求外，全体辅导员每学期完成一篇教育案例。</w:t>
            </w:r>
          </w:p>
        </w:tc>
      </w:tr>
    </w:tbl>
    <w:p w:rsidR="0086349A" w:rsidRDefault="0086349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86349A">
      <w:footerReference w:type="default" r:id="rId8"/>
      <w:pgSz w:w="16838" w:h="11906" w:orient="landscape"/>
      <w:pgMar w:top="1080" w:right="1440" w:bottom="1080" w:left="144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4A" w:rsidRDefault="00FC1B4A">
      <w:r>
        <w:separator/>
      </w:r>
    </w:p>
  </w:endnote>
  <w:endnote w:type="continuationSeparator" w:id="0">
    <w:p w:rsidR="00FC1B4A" w:rsidRDefault="00FC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49A" w:rsidRDefault="00FC1B4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86349A" w:rsidRDefault="002D0D47">
                <w:pPr>
                  <w:pStyle w:val="a5"/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A52101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4A" w:rsidRDefault="00FC1B4A">
      <w:r>
        <w:separator/>
      </w:r>
    </w:p>
  </w:footnote>
  <w:footnote w:type="continuationSeparator" w:id="0">
    <w:p w:rsidR="00FC1B4A" w:rsidRDefault="00FC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IwM2ZlZDFhMDc0NjZmNTA4MzE2OTY5NmQzZDNiZjIifQ=="/>
  </w:docVars>
  <w:rsids>
    <w:rsidRoot w:val="00172A27"/>
    <w:rsid w:val="00007852"/>
    <w:rsid w:val="000A3D84"/>
    <w:rsid w:val="000D36A3"/>
    <w:rsid w:val="000D5D4A"/>
    <w:rsid w:val="000E591C"/>
    <w:rsid w:val="00111488"/>
    <w:rsid w:val="00147DB2"/>
    <w:rsid w:val="00156BE7"/>
    <w:rsid w:val="00171239"/>
    <w:rsid w:val="00172A27"/>
    <w:rsid w:val="001758C2"/>
    <w:rsid w:val="00184497"/>
    <w:rsid w:val="0019110A"/>
    <w:rsid w:val="001B41D1"/>
    <w:rsid w:val="001F4215"/>
    <w:rsid w:val="00200674"/>
    <w:rsid w:val="002049F9"/>
    <w:rsid w:val="0024408D"/>
    <w:rsid w:val="002606E0"/>
    <w:rsid w:val="00281FAA"/>
    <w:rsid w:val="002A4491"/>
    <w:rsid w:val="002C756D"/>
    <w:rsid w:val="002D0D47"/>
    <w:rsid w:val="002D5382"/>
    <w:rsid w:val="002F0517"/>
    <w:rsid w:val="00312DB9"/>
    <w:rsid w:val="0034650F"/>
    <w:rsid w:val="00350860"/>
    <w:rsid w:val="003A3AF1"/>
    <w:rsid w:val="003F0DBF"/>
    <w:rsid w:val="003F121E"/>
    <w:rsid w:val="00430B2F"/>
    <w:rsid w:val="004323DA"/>
    <w:rsid w:val="004360FA"/>
    <w:rsid w:val="00447D01"/>
    <w:rsid w:val="00452FA3"/>
    <w:rsid w:val="00454A8A"/>
    <w:rsid w:val="00460929"/>
    <w:rsid w:val="0046351D"/>
    <w:rsid w:val="004826DF"/>
    <w:rsid w:val="004B1387"/>
    <w:rsid w:val="004C4B57"/>
    <w:rsid w:val="005008D6"/>
    <w:rsid w:val="00556112"/>
    <w:rsid w:val="005568F8"/>
    <w:rsid w:val="0057030F"/>
    <w:rsid w:val="005D6B67"/>
    <w:rsid w:val="005F3078"/>
    <w:rsid w:val="006007BE"/>
    <w:rsid w:val="00611899"/>
    <w:rsid w:val="00674122"/>
    <w:rsid w:val="007455E7"/>
    <w:rsid w:val="00755BAA"/>
    <w:rsid w:val="00761F7E"/>
    <w:rsid w:val="00802BC4"/>
    <w:rsid w:val="0080356E"/>
    <w:rsid w:val="00804F5B"/>
    <w:rsid w:val="00805292"/>
    <w:rsid w:val="0082561A"/>
    <w:rsid w:val="0086349A"/>
    <w:rsid w:val="008A09E4"/>
    <w:rsid w:val="008F1D78"/>
    <w:rsid w:val="00933ED9"/>
    <w:rsid w:val="009F0DEB"/>
    <w:rsid w:val="00A246B7"/>
    <w:rsid w:val="00A26FD2"/>
    <w:rsid w:val="00A30399"/>
    <w:rsid w:val="00A52101"/>
    <w:rsid w:val="00A5544C"/>
    <w:rsid w:val="00A55EBC"/>
    <w:rsid w:val="00A855CA"/>
    <w:rsid w:val="00AB31F7"/>
    <w:rsid w:val="00AD6076"/>
    <w:rsid w:val="00B0243A"/>
    <w:rsid w:val="00B029A8"/>
    <w:rsid w:val="00B16132"/>
    <w:rsid w:val="00B40238"/>
    <w:rsid w:val="00B61FFF"/>
    <w:rsid w:val="00B67216"/>
    <w:rsid w:val="00B80FAA"/>
    <w:rsid w:val="00BD3EC8"/>
    <w:rsid w:val="00C102E4"/>
    <w:rsid w:val="00C257E6"/>
    <w:rsid w:val="00C57706"/>
    <w:rsid w:val="00CB19A2"/>
    <w:rsid w:val="00CB307F"/>
    <w:rsid w:val="00CF4582"/>
    <w:rsid w:val="00D61976"/>
    <w:rsid w:val="00D83642"/>
    <w:rsid w:val="00DE1633"/>
    <w:rsid w:val="00EA2795"/>
    <w:rsid w:val="00F272B8"/>
    <w:rsid w:val="00F422F8"/>
    <w:rsid w:val="00F6325E"/>
    <w:rsid w:val="00F71321"/>
    <w:rsid w:val="00FB6278"/>
    <w:rsid w:val="00FC1B4A"/>
    <w:rsid w:val="0149741E"/>
    <w:rsid w:val="017B0941"/>
    <w:rsid w:val="03BF5AB9"/>
    <w:rsid w:val="03F62DA4"/>
    <w:rsid w:val="08912CDC"/>
    <w:rsid w:val="0A021AFB"/>
    <w:rsid w:val="0B0319BC"/>
    <w:rsid w:val="0D730432"/>
    <w:rsid w:val="0F0F79F2"/>
    <w:rsid w:val="0FB4307B"/>
    <w:rsid w:val="0FCD5378"/>
    <w:rsid w:val="0FEC4BCC"/>
    <w:rsid w:val="0FEF2E36"/>
    <w:rsid w:val="10D46595"/>
    <w:rsid w:val="114554B8"/>
    <w:rsid w:val="120B05F2"/>
    <w:rsid w:val="12715F0F"/>
    <w:rsid w:val="137F2FF7"/>
    <w:rsid w:val="138309AD"/>
    <w:rsid w:val="14C85B14"/>
    <w:rsid w:val="15676A33"/>
    <w:rsid w:val="15C7155F"/>
    <w:rsid w:val="15F10B59"/>
    <w:rsid w:val="17BF0170"/>
    <w:rsid w:val="17E757CA"/>
    <w:rsid w:val="17FD24FB"/>
    <w:rsid w:val="18301A5F"/>
    <w:rsid w:val="19F142E2"/>
    <w:rsid w:val="1C3246ED"/>
    <w:rsid w:val="1C6B638A"/>
    <w:rsid w:val="1C7966E9"/>
    <w:rsid w:val="1CF163A7"/>
    <w:rsid w:val="21472237"/>
    <w:rsid w:val="2301498D"/>
    <w:rsid w:val="24420D8F"/>
    <w:rsid w:val="244C7281"/>
    <w:rsid w:val="253167B4"/>
    <w:rsid w:val="257729DD"/>
    <w:rsid w:val="277E1EB6"/>
    <w:rsid w:val="295B7B53"/>
    <w:rsid w:val="295F4F1F"/>
    <w:rsid w:val="2BA7694E"/>
    <w:rsid w:val="2D7853CF"/>
    <w:rsid w:val="317B6FDC"/>
    <w:rsid w:val="32B3062C"/>
    <w:rsid w:val="374F71B6"/>
    <w:rsid w:val="39133412"/>
    <w:rsid w:val="39A3197A"/>
    <w:rsid w:val="3B312DBE"/>
    <w:rsid w:val="3B426731"/>
    <w:rsid w:val="3B464970"/>
    <w:rsid w:val="3C214858"/>
    <w:rsid w:val="3CC75F2B"/>
    <w:rsid w:val="3DF362DE"/>
    <w:rsid w:val="42576756"/>
    <w:rsid w:val="44973CAD"/>
    <w:rsid w:val="455E128B"/>
    <w:rsid w:val="466F6814"/>
    <w:rsid w:val="48CA5380"/>
    <w:rsid w:val="4A000435"/>
    <w:rsid w:val="4A140144"/>
    <w:rsid w:val="4B176CB5"/>
    <w:rsid w:val="4BE94C08"/>
    <w:rsid w:val="4DCA5370"/>
    <w:rsid w:val="50250266"/>
    <w:rsid w:val="5230450F"/>
    <w:rsid w:val="57D414BB"/>
    <w:rsid w:val="58615623"/>
    <w:rsid w:val="5C6A0DAE"/>
    <w:rsid w:val="5C787459"/>
    <w:rsid w:val="5CE42094"/>
    <w:rsid w:val="5E8A70DE"/>
    <w:rsid w:val="604A517F"/>
    <w:rsid w:val="605E283D"/>
    <w:rsid w:val="63473BF7"/>
    <w:rsid w:val="64A058C9"/>
    <w:rsid w:val="656C52AB"/>
    <w:rsid w:val="67183D81"/>
    <w:rsid w:val="677B7048"/>
    <w:rsid w:val="679338AF"/>
    <w:rsid w:val="6BEA3CBA"/>
    <w:rsid w:val="6C8B0FF9"/>
    <w:rsid w:val="6EF1381C"/>
    <w:rsid w:val="6F5B1156"/>
    <w:rsid w:val="6F5C316A"/>
    <w:rsid w:val="6FF929E5"/>
    <w:rsid w:val="71EE4490"/>
    <w:rsid w:val="734D271B"/>
    <w:rsid w:val="75314AF5"/>
    <w:rsid w:val="75E60C57"/>
    <w:rsid w:val="76003EF7"/>
    <w:rsid w:val="76E4682F"/>
    <w:rsid w:val="78767001"/>
    <w:rsid w:val="7A0E5017"/>
    <w:rsid w:val="7C865339"/>
    <w:rsid w:val="7CB80185"/>
    <w:rsid w:val="7D261F88"/>
    <w:rsid w:val="7F6B0354"/>
    <w:rsid w:val="7FEC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0994551"/>
  <w15:docId w15:val="{4F9046CE-5B19-48AB-9039-D1BEDE35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A521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semiHidden/>
    <w:unhideWhenUsed/>
    <w:qFormat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标题 1 字符"/>
    <w:basedOn w:val="a0"/>
    <w:link w:val="10"/>
    <w:rsid w:val="00B67216"/>
    <w:rPr>
      <w:rFonts w:ascii="宋体" w:hAnsi="宋体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F01AA4-D94A-46BA-ABB7-C957DD37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做自己的公主</dc:creator>
  <cp:lastModifiedBy>Windows 用户</cp:lastModifiedBy>
  <cp:revision>14</cp:revision>
  <cp:lastPrinted>2023-03-28T01:04:00Z</cp:lastPrinted>
  <dcterms:created xsi:type="dcterms:W3CDTF">2023-03-13T14:12:00Z</dcterms:created>
  <dcterms:modified xsi:type="dcterms:W3CDTF">2023-05-25T01:51:00Z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C8E06861CDE44E9CA4ED5AE6FDC86EC3</vt:lpwstr>
  </property>
</Properties>
</file>