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方正小标宋简体" w:hAnsi="宋体" w:eastAsia="方正小标宋简体"/>
          <w:b/>
          <w:sz w:val="36"/>
          <w:szCs w:val="36"/>
        </w:rPr>
      </w:pPr>
      <w:bookmarkStart w:id="0" w:name="_GoBack"/>
      <w:r>
        <w:rPr>
          <w:rFonts w:hint="eastAsia" w:ascii="方正小标宋简体" w:hAnsi="宋体" w:eastAsia="方正小标宋简体"/>
          <w:b/>
          <w:sz w:val="36"/>
          <w:szCs w:val="36"/>
        </w:rPr>
        <w:t>国家学生体质健康标准</w:t>
      </w:r>
      <w:bookmarkEnd w:id="0"/>
      <w:r>
        <w:rPr>
          <w:rFonts w:hint="eastAsia" w:ascii="方正小标宋简体" w:hAnsi="宋体" w:eastAsia="方正小标宋简体"/>
          <w:b/>
          <w:sz w:val="36"/>
          <w:szCs w:val="36"/>
        </w:rPr>
        <w:t>（2014年修订）</w:t>
      </w:r>
    </w:p>
    <w:p>
      <w:pPr>
        <w:spacing w:line="560" w:lineRule="exact"/>
        <w:ind w:firstLine="627" w:firstLineChars="196"/>
        <w:rPr>
          <w:rFonts w:ascii="仿宋_GB2312" w:hAnsi="仿宋" w:eastAsia="仿宋_GB2312"/>
          <w:color w:val="0000FF"/>
          <w:sz w:val="32"/>
          <w:szCs w:val="32"/>
        </w:rPr>
      </w:pPr>
      <w:r>
        <w:rPr>
          <w:rFonts w:hint="eastAsia" w:ascii="仿宋_GB2312" w:hAnsi="仿宋" w:eastAsia="仿宋_GB2312"/>
          <w:sz w:val="32"/>
          <w:szCs w:val="32"/>
        </w:rPr>
        <w:t>一、说明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pPr>
        <w:spacing w:line="520" w:lineRule="exact"/>
        <w:ind w:firstLine="640" w:firstLineChars="200"/>
        <w:rPr>
          <w:rFonts w:hint="eastAsia" w:ascii="仿宋" w:hAnsi="仿宋" w:eastAsia="仿宋_GB2312"/>
          <w:sz w:val="28"/>
          <w:szCs w:val="28"/>
          <w:lang w:eastAsia="zh-CN"/>
        </w:rPr>
        <w:sectPr>
          <w:footerReference r:id="rId3" w:type="default"/>
          <w:pgSz w:w="11906" w:h="16838"/>
          <w:pgMar w:top="1418" w:right="1758" w:bottom="1418" w:left="1758" w:header="851" w:footer="992" w:gutter="0"/>
          <w:cols w:space="720" w:num="1"/>
          <w:docGrid w:type="lines" w:linePitch="312" w:charSpace="0"/>
        </w:sectPr>
      </w:pPr>
      <w:r>
        <w:rPr>
          <w:rFonts w:hint="eastAsia" w:ascii="仿宋_GB2312" w:hAnsi="仿宋" w:eastAsia="仿宋_GB2312" w:cs="仿宋"/>
          <w:sz w:val="32"/>
          <w:szCs w:val="32"/>
          <w:shd w:val="clear" w:color="auto" w:fill="FFFFFF"/>
        </w:rPr>
        <w:t>12．本标准由教育部负责解释</w:t>
      </w:r>
      <w:r>
        <w:rPr>
          <w:rFonts w:hint="eastAsia" w:ascii="仿宋_GB2312" w:hAnsi="仿宋" w:eastAsia="仿宋_GB2312" w:cs="仿宋"/>
          <w:sz w:val="32"/>
          <w:szCs w:val="32"/>
          <w:shd w:val="clear" w:color="auto" w:fill="FFFFFF"/>
          <w:lang w:eastAsia="zh-CN"/>
        </w:rPr>
        <w:t>。</w:t>
      </w:r>
    </w:p>
    <w:p/>
    <w:sectPr>
      <w:pgSz w:w="11907" w:h="16838"/>
      <w:pgMar w:top="2268" w:right="1797" w:bottom="2268" w:left="179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17</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jJjNGRmZmUxYzIwNDBkZjdlYmI5Y2I3ZWVmN2EifQ=="/>
  </w:docVars>
  <w:rsids>
    <w:rsidRoot w:val="3CE069A4"/>
    <w:rsid w:val="3CE069A4"/>
    <w:rsid w:val="402F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2022-10-13T02:54:00Z</dcterms:created>
  <dc:creator>威威</dc:creator>
  <cp:lastModifiedBy>威威</cp:lastModifiedBy>
  <dcterms:modified xsi:type="dcterms:W3CDTF">2022-10-13T02:55:02Z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974F8667D8104D5E8738F69B1A810B82</vt:lpwstr>
  </property>
</Properties>
</file>